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insoku w:val="0"/>
        <w:overflowPunct w:val="0"/>
        <w:spacing w:before="15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附件</w:t>
      </w:r>
      <w:r>
        <w:rPr>
          <w:rFonts w:ascii="宋体" w:eastAsia="宋体" w:cs="宋体"/>
          <w:b/>
          <w:bCs/>
          <w:sz w:val="28"/>
          <w:szCs w:val="28"/>
        </w:rPr>
        <w:t xml:space="preserve"> 4</w:t>
      </w:r>
    </w:p>
    <w:p>
      <w:pPr>
        <w:pStyle w:val="5"/>
        <w:kinsoku w:val="0"/>
        <w:overflowPunct w:val="0"/>
        <w:spacing w:before="8"/>
        <w:rPr>
          <w:rFonts w:ascii="宋体" w:eastAsia="宋体" w:cs="宋体"/>
          <w:b/>
          <w:bCs/>
          <w:sz w:val="19"/>
          <w:szCs w:val="19"/>
        </w:rPr>
      </w:pPr>
    </w:p>
    <w:p>
      <w:pPr>
        <w:autoSpaceDE/>
        <w:autoSpaceDN/>
        <w:adjustRightInd/>
        <w:spacing w:after="156" w:afterLines="50" w:line="600" w:lineRule="exact"/>
        <w:jc w:val="center"/>
        <w:rPr>
          <w:rFonts w:ascii="宋体" w:eastAsia="宋体" w:cs="宋体"/>
          <w:b/>
          <w:bCs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2022 年度湖南省优秀新闻美术、报纸新闻版面奖参评推荐表</w:t>
      </w:r>
    </w:p>
    <w:p>
      <w:pPr>
        <w:pStyle w:val="5"/>
        <w:kinsoku w:val="0"/>
        <w:overflowPunct w:val="0"/>
        <w:ind w:left="680" w:firstLine="3472" w:firstLineChars="1300"/>
        <w:jc w:val="both"/>
        <w:rPr>
          <w:rFonts w:ascii="宋体" w:eastAsia="宋体" w:cs="宋体"/>
          <w:b/>
          <w:bCs/>
          <w:w w:val="95"/>
          <w:sz w:val="28"/>
          <w:szCs w:val="28"/>
        </w:rPr>
      </w:pPr>
      <w:r>
        <w:rPr>
          <w:rFonts w:hint="eastAsia" w:ascii="宋体" w:eastAsia="宋体" w:cs="宋体"/>
          <w:b/>
          <w:bCs/>
          <w:w w:val="95"/>
          <w:sz w:val="28"/>
          <w:szCs w:val="28"/>
        </w:rPr>
        <w:t>（新闻美术）</w:t>
      </w:r>
    </w:p>
    <w:p>
      <w:pPr>
        <w:pStyle w:val="5"/>
        <w:kinsoku w:val="0"/>
        <w:overflowPunct w:val="0"/>
        <w:spacing w:before="11"/>
        <w:rPr>
          <w:rFonts w:ascii="宋体" w:eastAsia="宋体" w:cs="宋体"/>
          <w:b/>
          <w:bCs/>
          <w:sz w:val="16"/>
          <w:szCs w:val="16"/>
        </w:rPr>
      </w:pPr>
    </w:p>
    <w:tbl>
      <w:tblPr>
        <w:tblStyle w:val="6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360"/>
        <w:gridCol w:w="2952"/>
        <w:gridCol w:w="394"/>
        <w:gridCol w:w="971"/>
        <w:gridCol w:w="1455"/>
        <w:gridCol w:w="1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作品标题</w:t>
            </w:r>
          </w:p>
        </w:tc>
        <w:tc>
          <w:tcPr>
            <w:tcW w:w="467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>
            <w:pPr>
              <w:pStyle w:val="14"/>
              <w:kinsoku w:val="0"/>
              <w:overflowPunct w:val="0"/>
              <w:spacing w:before="147"/>
              <w:ind w:left="102"/>
              <w:rPr>
                <w:rFonts w:ascii="Times New Roman" w:cs="Times New Roma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永定这十年丨大美永定•绘山水画卷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2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参评项目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2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县融优秀作品奖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58"/>
              <w:ind w:left="103"/>
              <w:jc w:val="center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467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58"/>
              <w:ind w:left="103"/>
              <w:rPr>
                <w:rFonts w:ascii="Times New Roman" w:cs="Times New Roma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2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体裁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2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新媒体新闻漫画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8"/>
              <w:ind w:left="103"/>
              <w:jc w:val="center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467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8"/>
              <w:ind w:left="103"/>
              <w:rPr>
                <w:rFonts w:ascii="Times New Roman" w:cs="Times New Roma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2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语种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2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作</w:t>
            </w: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ab/>
            </w: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者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79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49" w:line="228" w:lineRule="auto"/>
              <w:ind w:left="102" w:right="7"/>
              <w:jc w:val="center"/>
              <w:rPr>
                <w:rFonts w:ascii="Times New Roman" w:cs="Times New Roma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黄元、谷珊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编</w:t>
            </w: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ab/>
            </w: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辑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49" w:line="228" w:lineRule="auto"/>
              <w:ind w:left="82" w:right="102"/>
              <w:jc w:val="center"/>
              <w:rPr>
                <w:rFonts w:ascii="Times New Roman" w:cs="Times New Roma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甄冰艺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刊播单位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张家界市永定区融媒体中心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发布日期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2022年10月12日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刊播版面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微观永定微信公众号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作品字数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2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作品网址链接</w:t>
            </w:r>
          </w:p>
        </w:tc>
        <w:tc>
          <w:tcPr>
            <w:tcW w:w="7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宋体" w:cs="Times New Rom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instrText xml:space="preserve"> HYPERLINK "https://mp.weixin.qq.com/s/rd26PSX4gKwISG1VEME_zA"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https://mp.weixin.qq.com/s/rd26PSX4gKwISG1VEME_zA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采编过程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作品简介</w:t>
            </w:r>
          </w:p>
        </w:tc>
        <w:tc>
          <w:tcPr>
            <w:tcW w:w="8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8" w:firstLineChars="200"/>
              <w:jc w:val="both"/>
              <w:textAlignment w:val="auto"/>
              <w:rPr>
                <w:rFonts w:hint="eastAsia" w:ascii="宋体" w:hAnsi="Times New Roman" w:eastAsia="宋体" w:cs="宋体"/>
                <w:w w:val="95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该作品是在张家界市永定区大力实施旅游崛起，打造全域旅游发展“永定样本”，成功创建国家全域旅游示范区向党的二十大献礼的背景下，创作出的“大美永定”主题画卷。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作品使用数码手绘技法，融入时下流行的国潮风格，以永定区极具代性的旅游景点作为创作元素，将每个景区的景点特色、项目发展情况融入其中，通过绚丽多姿的色彩表现出“永定样本”的巍峨雄奇、蓬勃朝气、碧波荡漾、神秘梦幻的欣欣向荣之派。透过画面向受众展现永定旅游发展之美，全域旅游之态，以庸城山水为党的二十大献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20" w:firstLineChars="200"/>
              <w:jc w:val="both"/>
              <w:textAlignment w:val="auto"/>
              <w:rPr>
                <w:rFonts w:ascii="Times New Roman" w:eastAsia="宋体" w:cs="Times New Roman"/>
              </w:rPr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作品刊播后</w:t>
            </w: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受到</w:t>
            </w: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社会广泛关注</w:t>
            </w: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，获得权威媒体和专业人士认可转发，作品首发平台</w:t>
            </w: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浏览量达</w:t>
            </w: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2.4</w:t>
            </w: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社会效果</w:t>
            </w:r>
          </w:p>
        </w:tc>
        <w:tc>
          <w:tcPr>
            <w:tcW w:w="8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Times New Roman" w:eastAsia="宋体" w:cs="Times New Roma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《永定这十年丨大美永定•绘山水画卷》刊播后受到社会、网络广泛关注，并上稿人民网、学习强国、新湖南等国家级、省级权威媒体平台，通过平台影响力向外界推广传播永定山水之美，传播永定正确舆论价值导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推荐理由</w:t>
            </w:r>
          </w:p>
        </w:tc>
        <w:tc>
          <w:tcPr>
            <w:tcW w:w="8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2"/>
              <w:jc w:val="both"/>
              <w:rPr>
                <w:b/>
                <w:bCs/>
                <w:sz w:val="23"/>
                <w:szCs w:val="23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作为向党的二十大献礼的山水画卷，该作品制作精美，富有艺术表现力。作品刊播后被上级媒体转载认可，受到专业人士广泛好评。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</w:t>
            </w:r>
          </w:p>
          <w:p>
            <w:pPr>
              <w:spacing w:line="36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签名：</w:t>
            </w:r>
          </w:p>
          <w:p>
            <w:pPr>
              <w:pStyle w:val="14"/>
              <w:tabs>
                <w:tab w:val="left" w:pos="897"/>
                <w:tab w:val="left" w:pos="1317"/>
              </w:tabs>
              <w:kinsoku w:val="0"/>
              <w:overflowPunct w:val="0"/>
              <w:spacing w:line="295" w:lineRule="exact"/>
              <w:ind w:right="976"/>
              <w:jc w:val="both"/>
              <w:rPr>
                <w:rFonts w:ascii="Times New Roman" w:cs="Times New Roma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2023年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bookmarkStart w:id="0" w:name="_GoBack" w:colFirst="2" w:colLast="3"/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default" w:ascii="Times New Roman" w:eastAsia="宋体" w:cs="Times New Roman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黄元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手 机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18774533791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地 址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ascii="Times New Roman" w:eastAsia="宋体" w:cs="Times New Roma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湖南省张家界市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永定区融媒体中心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3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  <w:t>邮 编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427000</w:t>
            </w:r>
          </w:p>
        </w:tc>
      </w:tr>
      <w:bookmarkEnd w:id="0"/>
    </w:tbl>
    <w:p>
      <w:pPr>
        <w:rPr>
          <w:rFonts w:ascii="Times New Roman" w:eastAsia="宋体" w:cs="Times New Roman"/>
        </w:rPr>
        <w:sectPr>
          <w:footerReference r:id="rId3" w:type="default"/>
          <w:pgSz w:w="11910" w:h="16840"/>
          <w:pgMar w:top="1580" w:right="920" w:bottom="1160" w:left="1120" w:header="0" w:footer="975" w:gutter="0"/>
          <w:cols w:space="720" w:num="1"/>
        </w:sect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  <w:r>
        <w:rPr>
          <w:rFonts w:hint="eastAsia" w:hAnsi="仿宋_GB2312" w:cs="仿宋_GB2312"/>
          <w:color w:val="000000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32385</wp:posOffset>
            </wp:positionV>
            <wp:extent cx="2419985" cy="2466975"/>
            <wp:effectExtent l="0" t="0" r="18415" b="9525"/>
            <wp:wrapSquare wrapText="bothSides"/>
            <wp:docPr id="1" name="图片 5" descr="1678525869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6785258696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2629535" y="4114165"/>
                      <a:ext cx="24199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rPr>
          <w:rFonts w:ascii="宋体" w:eastAsia="宋体" w:cs="宋体"/>
          <w:b/>
          <w:bCs/>
          <w:sz w:val="20"/>
          <w:szCs w:val="20"/>
        </w:rPr>
      </w:pPr>
    </w:p>
    <w:p>
      <w:pPr>
        <w:pStyle w:val="5"/>
        <w:kinsoku w:val="0"/>
        <w:overflowPunct w:val="0"/>
        <w:spacing w:before="2"/>
        <w:rPr>
          <w:rFonts w:ascii="宋体" w:eastAsia="宋体" w:cs="宋体"/>
          <w:b/>
          <w:bCs/>
          <w:sz w:val="15"/>
          <w:szCs w:val="15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jc w:val="center"/>
        <w:rPr>
          <w:rFonts w:hint="default" w:ascii="黑体" w:eastAsia="黑体" w:cs="黑体"/>
          <w:sz w:val="32"/>
          <w:szCs w:val="32"/>
          <w:lang w:val="en-US"/>
        </w:rPr>
      </w:pPr>
      <w:r>
        <w:rPr>
          <w:rFonts w:hint="eastAsia"/>
          <w:w w:val="95"/>
          <w:sz w:val="32"/>
          <w:szCs w:val="32"/>
          <w:lang w:val="en-US" w:eastAsia="zh-CN"/>
        </w:rPr>
        <w:t>《永定这十年丨大美永定•绘山水画卷》作品链接二维码</w:t>
      </w: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insoku w:val="0"/>
        <w:overflowPunct w:val="0"/>
        <w:ind w:left="120"/>
        <w:rPr>
          <w:rFonts w:hint="eastAsia" w:ascii="黑体" w:eastAsia="黑体" w:cs="黑体"/>
          <w:sz w:val="32"/>
          <w:szCs w:val="32"/>
        </w:rPr>
      </w:pPr>
    </w:p>
    <w:p>
      <w:pPr>
        <w:pStyle w:val="5"/>
        <w:tabs>
          <w:tab w:val="left" w:pos="640"/>
          <w:tab w:val="left" w:pos="1279"/>
        </w:tabs>
        <w:kinsoku w:val="0"/>
        <w:overflowPunct w:val="0"/>
        <w:spacing w:before="205"/>
        <w:ind w:right="1205"/>
        <w:jc w:val="both"/>
        <w:rPr>
          <w:rFonts w:ascii="宋体" w:eastAsia="宋体" w:cs="宋体"/>
          <w:spacing w:val="-1"/>
          <w:w w:val="95"/>
          <w:sz w:val="32"/>
          <w:szCs w:val="32"/>
        </w:rPr>
      </w:pPr>
    </w:p>
    <w:sectPr>
      <w:pgSz w:w="11910" w:h="16840"/>
      <w:pgMar w:top="1500" w:right="1540" w:bottom="1160" w:left="168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rFonts w:ascii="Times New Roman" w:eastAsia="宋体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6334125</wp:posOffset>
              </wp:positionH>
              <wp:positionV relativeFrom="page">
                <wp:posOffset>9933305</wp:posOffset>
              </wp:positionV>
              <wp:extent cx="1092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Calibri" w:hAnsi="Calibri" w:eastAsia="宋体" w:cs="Calibri"/>
                              <w:w w:val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eastAsia="宋体" w:cs="Calibri"/>
                              <w:w w:val="99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Calibr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eastAsia="宋体" w:cs="Calibri"/>
                              <w:w w:val="99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Calibri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eastAsia="宋体" w:cs="Calibri"/>
                              <w:w w:val="99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8.75pt;margin-top:782.15pt;height:11pt;width:8.6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ZnBLncAAAADgEAAA8AAAAAAAAAAQAgAAAAIgAAAGRycy9kb3ducmV2LnhtbFBL&#10;AQIUABQAAAAIAIdO4kC5zBL7uQEAAHE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Calibri" w:hAnsi="Calibri" w:eastAsia="宋体" w:cs="Calibri"/>
                        <w:w w:val="99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eastAsia="宋体" w:cs="Calibri"/>
                        <w:w w:val="99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eastAsia="宋体" w:cs="Calibr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eastAsia="宋体" w:cs="Calibri"/>
                        <w:w w:val="99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eastAsia="宋体" w:cs="Calibri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eastAsia="宋体" w:cs="Calibri"/>
                        <w:w w:val="99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MmZhMWU0Mjc1ZmU4NDUwNzEyMDk4Mzg4ODg2NTgifQ=="/>
  </w:docVars>
  <w:rsids>
    <w:rsidRoot w:val="000C60DE"/>
    <w:rsid w:val="000C60DE"/>
    <w:rsid w:val="004F4504"/>
    <w:rsid w:val="00FD5B62"/>
    <w:rsid w:val="1D976FE5"/>
    <w:rsid w:val="284861F0"/>
    <w:rsid w:val="2E095F93"/>
    <w:rsid w:val="36D048FC"/>
    <w:rsid w:val="37DB522D"/>
    <w:rsid w:val="500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PMingLiU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ind w:left="120"/>
      <w:outlineLvl w:val="0"/>
    </w:pPr>
    <w:rPr>
      <w:rFonts w:ascii="宋体" w:eastAsia="宋体" w:cs="宋体"/>
      <w:sz w:val="32"/>
      <w:szCs w:val="32"/>
    </w:rPr>
  </w:style>
  <w:style w:type="paragraph" w:styleId="3">
    <w:name w:val="heading 2"/>
    <w:basedOn w:val="1"/>
    <w:next w:val="1"/>
    <w:link w:val="11"/>
    <w:qFormat/>
    <w:uiPriority w:val="99"/>
    <w:pPr>
      <w:ind w:left="220"/>
      <w:outlineLvl w:val="1"/>
    </w:pPr>
    <w:rPr>
      <w:rFonts w:ascii="宋体" w:eastAsia="宋体" w:cs="宋体"/>
      <w:b/>
      <w:bCs/>
      <w:sz w:val="28"/>
      <w:szCs w:val="28"/>
    </w:rPr>
  </w:style>
  <w:style w:type="paragraph" w:styleId="4">
    <w:name w:val="heading 3"/>
    <w:basedOn w:val="1"/>
    <w:next w:val="1"/>
    <w:link w:val="12"/>
    <w:qFormat/>
    <w:uiPriority w:val="99"/>
    <w:pPr>
      <w:ind w:left="600"/>
      <w:outlineLvl w:val="2"/>
    </w:pPr>
    <w:rPr>
      <w:rFonts w:ascii="Microsoft JhengHei" w:eastAsia="Microsoft JhengHei" w:cs="Microsoft JhengHei"/>
      <w:b/>
      <w:bCs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9"/>
    <w:uiPriority w:val="99"/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Body Text Char"/>
    <w:basedOn w:val="7"/>
    <w:link w:val="5"/>
    <w:semiHidden/>
    <w:uiPriority w:val="99"/>
    <w:rPr>
      <w:rFonts w:ascii="PMingLiU" w:eastAsia="PMingLiU" w:cs="PMingLiU"/>
      <w:kern w:val="0"/>
      <w:sz w:val="24"/>
      <w:szCs w:val="24"/>
    </w:rPr>
  </w:style>
  <w:style w:type="character" w:customStyle="1" w:styleId="10">
    <w:name w:val="Heading 1 Char"/>
    <w:basedOn w:val="7"/>
    <w:link w:val="2"/>
    <w:uiPriority w:val="9"/>
    <w:rPr>
      <w:rFonts w:ascii="PMingLiU" w:eastAsia="PMingLiU" w:cs="PMingLiU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2">
    <w:name w:val="Heading 3 Char"/>
    <w:basedOn w:val="7"/>
    <w:link w:val="4"/>
    <w:semiHidden/>
    <w:qFormat/>
    <w:uiPriority w:val="9"/>
    <w:rPr>
      <w:rFonts w:ascii="PMingLiU" w:eastAsia="PMingLiU" w:cs="PMingLiU"/>
      <w:b/>
      <w:bCs/>
      <w:kern w:val="0"/>
      <w:sz w:val="32"/>
      <w:szCs w:val="32"/>
    </w:rPr>
  </w:style>
  <w:style w:type="paragraph" w:styleId="13">
    <w:name w:val="List Paragraph"/>
    <w:basedOn w:val="1"/>
    <w:qFormat/>
    <w:uiPriority w:val="99"/>
    <w:rPr>
      <w:rFonts w:ascii="Times New Roman" w:eastAsia="宋体" w:cs="Times New Roman"/>
    </w:rPr>
  </w:style>
  <w:style w:type="paragraph" w:customStyle="1" w:styleId="14">
    <w:name w:val="Table Paragraph"/>
    <w:basedOn w:val="1"/>
    <w:uiPriority w:val="99"/>
    <w:rPr>
      <w:rFonts w:asci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621</Words>
  <Characters>682</Characters>
  <Lines>0</Lines>
  <Paragraphs>0</Paragraphs>
  <TotalTime>1</TotalTime>
  <ScaleCrop>false</ScaleCrop>
  <LinksUpToDate>false</LinksUpToDate>
  <CharactersWithSpaces>791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2023-02-27T08:09:00Z</dcterms:created>
  <dc:creator>luojieke</dc:creator>
  <cp:lastModifiedBy>Administrator</cp:lastModifiedBy>
  <dcterms:modified xsi:type="dcterms:W3CDTF">2023-03-17T09:57:41Z</dcterms:modified>
  <dc:title>关于做好2008年度湖南省好新闻奖评选工作的通知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2052-11.1.0.13703</vt:lpwstr>
  </property>
  <property fmtid="{D5CDD505-2E9C-101B-9397-08002B2CF9AE}" pid="4" name="ICV">
    <vt:lpwstr>0F781FC7366D45E2B362E96BC2768338</vt:lpwstr>
  </property>
</Properties>
</file>